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Request for Pitch Deck &amp; Budget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1. Purpose of This Document</w:t>
        <w:br w:type="textWrapping"/>
        <w:t xml:space="preserve">This document invites technology partners to submit a Pitch Deck and detailed budget proposal for building an end-to-end ethical celebrity advertising platform.</w:t>
        <w:br w:type="textWrapping"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2. Project Overview</w:t>
        <w:br w:type="textWrapping"/>
        <w:t xml:space="preserve">The objective is to build a drag-and-drop AI-powered platform for consent-driven celebrity advertising, ensuring legal, ethical, and technical safeguards.</w:t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3. Scope of Work</w:t>
        <w:br w:type="textWrapping"/>
        <w:t xml:space="preserve">The selected partner will design, build, and deploy the complete system including mobile app, backend AI, and web interface.</w:t>
        <w:br w:type="textWrapping"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4. Data Capture &amp; Ingestion (iOS App)</w:t>
        <w:br w:type="textWrapping"/>
        <w:t xml:space="preserve">An iOS application using LiDAR (where available) and photogrammetry for secure data capture and upload.</w:t>
        <w:br w:type="textWrapping"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5. Dataset &amp; Identity Management</w:t>
        <w:br w:type="textWrapping"/>
        <w:t xml:space="preserve">Isolated, encrypted datasets per celebrity with consent metadata and revocation controls.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6. Backend AI System</w:t>
        <w:br w:type="textWrapping"/>
        <w:t xml:space="preserve">Private LLM and vision models using LoRA / QLoRA fine-tuning with strict identity separation.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7. Creative Web Application</w:t>
        <w:br w:type="textWrapping"/>
        <w:t xml:space="preserve">Browser-based drag-and-drop tool with role-based access and approval workflows.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8. Ethics, Security &amp; Compliance</w:t>
        <w:br w:type="textWrapping"/>
        <w:t xml:space="preserve">Consent enforcement, watermarking, audit logs, and instant identity deactivation.</w:t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9. Infrastructure &amp; Deployment</w:t>
        <w:br w:type="textWrapping"/>
        <w:t xml:space="preserve">Training, inference, cloud/hybrid deployment, scalability, and monitoring.</w:t>
        <w:br w:type="textWrapping"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10. Commercial &amp; Cost Expectations</w:t>
        <w:br w:type="textWrapping"/>
        <w:t xml:space="preserve">Detailed breakup of development, AI, infrastructure, and recurring costs.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11. Pitch Deck Requirements</w:t>
        <w:br w:type="textWrapping"/>
        <w:t xml:space="preserve">Problem understanding, architecture, AI approach, timelines, and budget.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12. Engagement Model</w:t>
        <w:br w:type="textWrapping"/>
        <w:t xml:space="preserve">Commercial structure, IP ownership, data security, and support.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13. Outcome</w:t>
        <w:br w:type="textWrapping"/>
        <w:t xml:space="preserve">Selection of a long-term technology partner for a scalable ethical AI platform.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